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7E8C" w14:textId="716A971C" w:rsidR="00DA476D" w:rsidRPr="00F269E4" w:rsidRDefault="00DA476D" w:rsidP="00BB63F4">
      <w:pPr>
        <w:pStyle w:val="font8"/>
        <w:jc w:val="center"/>
        <w:rPr>
          <w:rFonts w:ascii="Arial" w:hAnsi="Arial" w:cs="Arial"/>
          <w:b/>
          <w:bCs/>
          <w:sz w:val="36"/>
          <w:szCs w:val="36"/>
          <w:lang w:val="en"/>
        </w:rPr>
      </w:pPr>
      <w:r w:rsidRPr="00F269E4">
        <w:rPr>
          <w:rFonts w:ascii="Libre Baskerville" w:hAnsi="Libre Baskerville" w:cs="Arial"/>
          <w:b/>
          <w:bCs/>
          <w:color w:val="000000"/>
          <w:sz w:val="36"/>
          <w:szCs w:val="36"/>
          <w:lang w:val="en"/>
        </w:rPr>
        <w:t>Environmental Cl</w:t>
      </w:r>
      <w:bookmarkStart w:id="0" w:name="_GoBack"/>
      <w:bookmarkEnd w:id="0"/>
      <w:r w:rsidRPr="00F269E4">
        <w:rPr>
          <w:rFonts w:ascii="Libre Baskerville" w:hAnsi="Libre Baskerville" w:cs="Arial"/>
          <w:b/>
          <w:bCs/>
          <w:color w:val="000000"/>
          <w:sz w:val="36"/>
          <w:szCs w:val="36"/>
          <w:lang w:val="en"/>
        </w:rPr>
        <w:t>eanup &amp; Protection</w:t>
      </w:r>
    </w:p>
    <w:p w14:paraId="7696B824" w14:textId="206D0F0E" w:rsidR="00DA476D" w:rsidRPr="00F269E4" w:rsidRDefault="00DA476D" w:rsidP="00DA476D">
      <w:pPr>
        <w:pStyle w:val="font8"/>
        <w:rPr>
          <w:rFonts w:ascii="Arial" w:hAnsi="Arial" w:cs="Arial"/>
          <w:lang w:val="en"/>
        </w:rPr>
      </w:pPr>
      <w:r w:rsidRPr="00F269E4">
        <w:rPr>
          <w:rFonts w:ascii="Libre Baskerville" w:hAnsi="Libre Baskerville" w:cs="Arial"/>
          <w:color w:val="323232"/>
          <w:lang w:val="en"/>
        </w:rPr>
        <w:t>D</w:t>
      </w:r>
      <w:r w:rsidRPr="00F269E4">
        <w:rPr>
          <w:rFonts w:ascii="Libre Baskerville" w:hAnsi="Libre Baskerville" w:cs="Arial"/>
          <w:color w:val="323232"/>
          <w:sz w:val="23"/>
          <w:szCs w:val="23"/>
          <w:lang w:val="en"/>
        </w:rPr>
        <w:t>ETCOG administers a Regional Solid Waste Grant Program which is funded by the Texas Commission on Environmental Quality (TCEQ). This program has invested hundreds of thousands of dollars into local projects for environmental cleanup, recycling and community beautification.   From 2010 through 2020 the program has provided more than $</w:t>
      </w:r>
      <w:r w:rsidR="00BB63F4" w:rsidRPr="00F269E4">
        <w:rPr>
          <w:rFonts w:ascii="Libre Baskerville" w:hAnsi="Libre Baskerville" w:cs="Arial"/>
          <w:color w:val="323232"/>
          <w:sz w:val="23"/>
          <w:szCs w:val="23"/>
          <w:lang w:val="en"/>
        </w:rPr>
        <w:t>843,179.38</w:t>
      </w:r>
      <w:r w:rsidRPr="00F269E4">
        <w:rPr>
          <w:rFonts w:ascii="Libre Baskerville" w:hAnsi="Libre Baskerville" w:cs="Arial"/>
          <w:color w:val="323232"/>
          <w:sz w:val="23"/>
          <w:szCs w:val="23"/>
          <w:lang w:val="en"/>
        </w:rPr>
        <w:t xml:space="preserve"> to fund local projects. In the latest completed funding cycle, grants were awarded for recycling, general solid waste management, household hazardous waste management, organic waste management, and used oil management.</w:t>
      </w:r>
    </w:p>
    <w:p w14:paraId="07E7F3D2" w14:textId="4E44748D" w:rsidR="00DA476D" w:rsidRPr="00F269E4" w:rsidRDefault="00DA476D" w:rsidP="00BB63F4">
      <w:pPr>
        <w:pStyle w:val="font8"/>
        <w:jc w:val="center"/>
        <w:rPr>
          <w:rFonts w:ascii="Arial" w:hAnsi="Arial" w:cs="Arial"/>
          <w:b/>
          <w:bCs/>
          <w:sz w:val="36"/>
          <w:szCs w:val="36"/>
          <w:lang w:val="en"/>
        </w:rPr>
      </w:pPr>
      <w:r w:rsidRPr="00F269E4">
        <w:rPr>
          <w:rFonts w:ascii="Libre Baskerville" w:hAnsi="Libre Baskerville" w:cs="Arial"/>
          <w:b/>
          <w:bCs/>
          <w:color w:val="000000"/>
          <w:sz w:val="36"/>
          <w:szCs w:val="36"/>
          <w:lang w:val="en"/>
        </w:rPr>
        <w:t>DETCOG Regional Solid Waste Advisory Committee Report</w:t>
      </w:r>
    </w:p>
    <w:p w14:paraId="495BD808" w14:textId="6D54D1FE" w:rsidR="00DA476D" w:rsidRPr="00F269E4" w:rsidRDefault="00DA476D" w:rsidP="00DA476D">
      <w:pPr>
        <w:pStyle w:val="font8"/>
        <w:rPr>
          <w:rFonts w:ascii="Arial" w:hAnsi="Arial" w:cs="Arial"/>
          <w:sz w:val="22"/>
          <w:szCs w:val="22"/>
          <w:lang w:val="en"/>
        </w:rPr>
      </w:pPr>
      <w:r w:rsidRPr="00F269E4">
        <w:rPr>
          <w:rFonts w:ascii="Libre Baskerville" w:hAnsi="Libre Baskerville" w:cs="Arial"/>
          <w:color w:val="000000"/>
          <w:sz w:val="22"/>
          <w:szCs w:val="22"/>
          <w:lang w:val="en"/>
        </w:rPr>
        <w:t xml:space="preserve">DETCOG Regional Solid Waste Advisory Committee met </w:t>
      </w:r>
      <w:r w:rsidR="006B018A" w:rsidRPr="00F269E4">
        <w:rPr>
          <w:rFonts w:ascii="Libre Baskerville" w:hAnsi="Libre Baskerville" w:cs="Arial"/>
          <w:color w:val="000000"/>
          <w:sz w:val="22"/>
          <w:szCs w:val="22"/>
          <w:lang w:val="en"/>
        </w:rPr>
        <w:t>Thursday</w:t>
      </w:r>
      <w:r w:rsidR="00BB63F4" w:rsidRPr="00F269E4">
        <w:rPr>
          <w:rFonts w:ascii="Libre Baskerville" w:hAnsi="Libre Baskerville" w:cs="Arial"/>
          <w:color w:val="000000"/>
          <w:sz w:val="22"/>
          <w:szCs w:val="22"/>
          <w:lang w:val="en"/>
        </w:rPr>
        <w:t>,</w:t>
      </w:r>
      <w:r w:rsidR="006B018A" w:rsidRPr="00F269E4">
        <w:rPr>
          <w:rFonts w:ascii="Libre Baskerville" w:hAnsi="Libre Baskerville" w:cs="Arial"/>
          <w:color w:val="000000"/>
          <w:sz w:val="22"/>
          <w:szCs w:val="22"/>
          <w:lang w:val="en"/>
        </w:rPr>
        <w:t xml:space="preserve"> </w:t>
      </w:r>
      <w:r w:rsidR="00BB63F4" w:rsidRPr="00F269E4">
        <w:rPr>
          <w:rFonts w:ascii="Libre Baskerville" w:hAnsi="Libre Baskerville" w:cs="Arial"/>
          <w:color w:val="000000"/>
          <w:sz w:val="22"/>
          <w:szCs w:val="22"/>
          <w:lang w:val="en"/>
        </w:rPr>
        <w:t>January 16, 2020</w:t>
      </w:r>
      <w:r w:rsidRPr="00F269E4">
        <w:rPr>
          <w:rFonts w:ascii="Libre Baskerville" w:hAnsi="Libre Baskerville" w:cs="Arial"/>
          <w:color w:val="000000"/>
          <w:sz w:val="22"/>
          <w:szCs w:val="22"/>
          <w:lang w:val="en"/>
        </w:rPr>
        <w:t xml:space="preserve"> </w:t>
      </w:r>
      <w:r w:rsidR="00BB63F4" w:rsidRPr="00F269E4">
        <w:rPr>
          <w:rFonts w:ascii="Libre Baskerville" w:hAnsi="Libre Baskerville" w:cs="Arial"/>
          <w:color w:val="000000"/>
          <w:sz w:val="22"/>
          <w:szCs w:val="22"/>
          <w:lang w:val="en"/>
        </w:rPr>
        <w:t>at</w:t>
      </w:r>
      <w:r w:rsidRPr="00F269E4">
        <w:rPr>
          <w:rFonts w:ascii="Libre Baskerville" w:hAnsi="Libre Baskerville" w:cs="Arial"/>
          <w:color w:val="000000"/>
          <w:sz w:val="22"/>
          <w:szCs w:val="22"/>
          <w:lang w:val="en"/>
        </w:rPr>
        <w:t xml:space="preserve"> the </w:t>
      </w:r>
      <w:r w:rsidR="006B018A" w:rsidRPr="00F269E4">
        <w:rPr>
          <w:rFonts w:ascii="Libre Baskerville" w:hAnsi="Libre Baskerville" w:cs="Arial"/>
          <w:color w:val="000000"/>
          <w:sz w:val="22"/>
          <w:szCs w:val="22"/>
          <w:lang w:val="en"/>
        </w:rPr>
        <w:t>Lufkin City</w:t>
      </w:r>
      <w:r w:rsidR="00BB63F4" w:rsidRPr="00F269E4">
        <w:rPr>
          <w:rFonts w:ascii="Libre Baskerville" w:hAnsi="Libre Baskerville" w:cs="Arial"/>
          <w:color w:val="000000"/>
          <w:sz w:val="22"/>
          <w:szCs w:val="22"/>
          <w:lang w:val="en"/>
        </w:rPr>
        <w:t xml:space="preserve"> </w:t>
      </w:r>
      <w:r w:rsidR="006B018A" w:rsidRPr="00F269E4">
        <w:rPr>
          <w:rFonts w:ascii="Libre Baskerville" w:hAnsi="Libre Baskerville" w:cs="Arial"/>
          <w:color w:val="000000"/>
          <w:sz w:val="22"/>
          <w:szCs w:val="22"/>
          <w:lang w:val="en"/>
        </w:rPr>
        <w:t xml:space="preserve">Hall </w:t>
      </w:r>
      <w:r w:rsidR="00BB63F4" w:rsidRPr="00F269E4">
        <w:rPr>
          <w:rFonts w:ascii="Libre Baskerville" w:hAnsi="Libre Baskerville" w:cs="Arial"/>
          <w:color w:val="000000"/>
          <w:sz w:val="22"/>
          <w:szCs w:val="22"/>
          <w:lang w:val="en"/>
        </w:rPr>
        <w:t>300 E Shepherd St., Room 202, Lufkin, Tx 75902</w:t>
      </w:r>
      <w:r w:rsidR="006B018A" w:rsidRPr="00F269E4">
        <w:rPr>
          <w:rFonts w:ascii="Libre Baskerville" w:hAnsi="Libre Baskerville" w:cs="Arial"/>
          <w:color w:val="000000"/>
          <w:sz w:val="22"/>
          <w:szCs w:val="22"/>
          <w:lang w:val="en"/>
        </w:rPr>
        <w:t xml:space="preserve"> </w:t>
      </w:r>
    </w:p>
    <w:p w14:paraId="637B765B" w14:textId="77777777" w:rsidR="00DA476D" w:rsidRPr="00F269E4" w:rsidRDefault="00DA476D" w:rsidP="00DA476D">
      <w:pPr>
        <w:pStyle w:val="font8"/>
        <w:rPr>
          <w:rFonts w:ascii="Arial" w:hAnsi="Arial" w:cs="Arial"/>
          <w:sz w:val="22"/>
          <w:szCs w:val="22"/>
          <w:lang w:val="en"/>
        </w:rPr>
      </w:pPr>
      <w:r w:rsidRPr="00F269E4">
        <w:rPr>
          <w:rFonts w:ascii="Libre Baskerville" w:hAnsi="Libre Baskerville" w:cs="Arial"/>
          <w:color w:val="000000"/>
          <w:sz w:val="22"/>
          <w:szCs w:val="22"/>
          <w:lang w:val="en"/>
        </w:rPr>
        <w:t>The committee heard solid waste grant program applicant presentations and then reviewed and scored their applications.  The resulting scores were as follows:</w:t>
      </w:r>
    </w:p>
    <w:tbl>
      <w:tblPr>
        <w:tblW w:w="5000" w:type="pct"/>
        <w:tblBorders>
          <w:top w:val="single" w:sz="24" w:space="0" w:color="auto"/>
        </w:tblBorders>
        <w:tblCellMar>
          <w:top w:w="15" w:type="dxa"/>
          <w:left w:w="15" w:type="dxa"/>
          <w:bottom w:w="15" w:type="dxa"/>
          <w:right w:w="15" w:type="dxa"/>
        </w:tblCellMar>
        <w:tblLook w:val="04A0" w:firstRow="1" w:lastRow="0" w:firstColumn="1" w:lastColumn="0" w:noHBand="0" w:noVBand="1"/>
      </w:tblPr>
      <w:tblGrid>
        <w:gridCol w:w="6504"/>
        <w:gridCol w:w="2856"/>
      </w:tblGrid>
      <w:tr w:rsidR="00DA476D" w:rsidRPr="00F269E4" w14:paraId="045207DE" w14:textId="77777777" w:rsidTr="00DA476D">
        <w:tc>
          <w:tcPr>
            <w:tcW w:w="0" w:type="auto"/>
            <w:shd w:val="clear" w:color="auto" w:fill="FFFFFF"/>
            <w:vAlign w:val="center"/>
            <w:hideMark/>
          </w:tcPr>
          <w:p w14:paraId="25D3BA3E" w14:textId="7AA89994"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City of Crockett</w:t>
            </w:r>
          </w:p>
        </w:tc>
        <w:tc>
          <w:tcPr>
            <w:tcW w:w="0" w:type="auto"/>
            <w:shd w:val="clear" w:color="auto" w:fill="FFFFFF"/>
            <w:vAlign w:val="center"/>
            <w:hideMark/>
          </w:tcPr>
          <w:p w14:paraId="469CB17E" w14:textId="476AF709"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635</w:t>
            </w:r>
            <w:r w:rsidR="00DA476D" w:rsidRPr="00F269E4">
              <w:rPr>
                <w:rFonts w:ascii="Helvetica" w:eastAsia="Times New Roman" w:hAnsi="Helvetica" w:cs="Helvetica"/>
                <w:color w:val="333333"/>
                <w:sz w:val="21"/>
                <w:szCs w:val="21"/>
              </w:rPr>
              <w:t xml:space="preserve"> Points</w:t>
            </w:r>
          </w:p>
        </w:tc>
      </w:tr>
      <w:tr w:rsidR="00DA476D" w:rsidRPr="00F269E4" w14:paraId="56EDECA3" w14:textId="77777777" w:rsidTr="00DA476D">
        <w:tc>
          <w:tcPr>
            <w:tcW w:w="0" w:type="auto"/>
            <w:shd w:val="clear" w:color="auto" w:fill="FFFFFF"/>
            <w:vAlign w:val="center"/>
            <w:hideMark/>
          </w:tcPr>
          <w:p w14:paraId="5A048200" w14:textId="77777777" w:rsidR="00DA476D" w:rsidRPr="00F269E4" w:rsidRDefault="00DA476D"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Angelina Beautiful Clean</w:t>
            </w:r>
          </w:p>
        </w:tc>
        <w:tc>
          <w:tcPr>
            <w:tcW w:w="0" w:type="auto"/>
            <w:shd w:val="clear" w:color="auto" w:fill="FFFFFF"/>
            <w:vAlign w:val="center"/>
            <w:hideMark/>
          </w:tcPr>
          <w:p w14:paraId="79FC163C" w14:textId="10C7D1C8"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631</w:t>
            </w:r>
            <w:r w:rsidR="00DA476D" w:rsidRPr="00F269E4">
              <w:rPr>
                <w:rFonts w:ascii="Helvetica" w:eastAsia="Times New Roman" w:hAnsi="Helvetica" w:cs="Helvetica"/>
                <w:color w:val="333333"/>
                <w:sz w:val="21"/>
                <w:szCs w:val="21"/>
              </w:rPr>
              <w:t xml:space="preserve"> Points</w:t>
            </w:r>
          </w:p>
        </w:tc>
      </w:tr>
      <w:tr w:rsidR="00DA476D" w:rsidRPr="00F269E4" w14:paraId="6223C1D0" w14:textId="77777777" w:rsidTr="00DA476D">
        <w:tc>
          <w:tcPr>
            <w:tcW w:w="0" w:type="auto"/>
            <w:shd w:val="clear" w:color="auto" w:fill="FFFFFF"/>
            <w:vAlign w:val="center"/>
            <w:hideMark/>
          </w:tcPr>
          <w:p w14:paraId="009C1856" w14:textId="40CC3B86"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San Jacinto County</w:t>
            </w:r>
          </w:p>
        </w:tc>
        <w:tc>
          <w:tcPr>
            <w:tcW w:w="0" w:type="auto"/>
            <w:shd w:val="clear" w:color="auto" w:fill="FFFFFF"/>
            <w:vAlign w:val="center"/>
            <w:hideMark/>
          </w:tcPr>
          <w:p w14:paraId="7F5E5D07" w14:textId="11293298"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616</w:t>
            </w:r>
            <w:r w:rsidR="00DA476D" w:rsidRPr="00F269E4">
              <w:rPr>
                <w:rFonts w:ascii="Helvetica" w:eastAsia="Times New Roman" w:hAnsi="Helvetica" w:cs="Helvetica"/>
                <w:color w:val="333333"/>
                <w:sz w:val="21"/>
                <w:szCs w:val="21"/>
              </w:rPr>
              <w:t xml:space="preserve"> Points</w:t>
            </w:r>
          </w:p>
        </w:tc>
      </w:tr>
      <w:tr w:rsidR="00DA476D" w:rsidRPr="00F269E4" w14:paraId="37A16773" w14:textId="77777777" w:rsidTr="00DA476D">
        <w:tc>
          <w:tcPr>
            <w:tcW w:w="0" w:type="auto"/>
            <w:shd w:val="clear" w:color="auto" w:fill="FFFFFF"/>
            <w:vAlign w:val="center"/>
            <w:hideMark/>
          </w:tcPr>
          <w:p w14:paraId="10CF4014" w14:textId="29A870D4"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City of Nacogdoches</w:t>
            </w:r>
          </w:p>
        </w:tc>
        <w:tc>
          <w:tcPr>
            <w:tcW w:w="0" w:type="auto"/>
            <w:shd w:val="clear" w:color="auto" w:fill="FFFFFF"/>
            <w:vAlign w:val="center"/>
            <w:hideMark/>
          </w:tcPr>
          <w:p w14:paraId="79D9E7E0" w14:textId="1A2FCD96"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578</w:t>
            </w:r>
            <w:r w:rsidR="00DA476D" w:rsidRPr="00F269E4">
              <w:rPr>
                <w:rFonts w:ascii="Helvetica" w:eastAsia="Times New Roman" w:hAnsi="Helvetica" w:cs="Helvetica"/>
                <w:color w:val="333333"/>
                <w:sz w:val="21"/>
                <w:szCs w:val="21"/>
              </w:rPr>
              <w:t xml:space="preserve"> Points</w:t>
            </w:r>
          </w:p>
        </w:tc>
      </w:tr>
      <w:tr w:rsidR="00DA476D" w:rsidRPr="00F269E4" w14:paraId="7FDA5B33" w14:textId="77777777" w:rsidTr="00DA476D">
        <w:tc>
          <w:tcPr>
            <w:tcW w:w="0" w:type="auto"/>
            <w:shd w:val="clear" w:color="auto" w:fill="FFFFFF"/>
            <w:vAlign w:val="center"/>
            <w:hideMark/>
          </w:tcPr>
          <w:p w14:paraId="460A6FFB" w14:textId="17762800"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Trinity County</w:t>
            </w:r>
          </w:p>
        </w:tc>
        <w:tc>
          <w:tcPr>
            <w:tcW w:w="0" w:type="auto"/>
            <w:shd w:val="clear" w:color="auto" w:fill="FFFFFF"/>
            <w:vAlign w:val="center"/>
            <w:hideMark/>
          </w:tcPr>
          <w:p w14:paraId="1976DBC9" w14:textId="69C498B0" w:rsidR="00DA476D" w:rsidRPr="00F269E4" w:rsidRDefault="006B018A" w:rsidP="00DA476D">
            <w:pPr>
              <w:spacing w:after="0" w:line="240" w:lineRule="auto"/>
              <w:rPr>
                <w:rFonts w:ascii="Helvetica" w:eastAsia="Times New Roman" w:hAnsi="Helvetica" w:cs="Helvetica"/>
                <w:color w:val="333333"/>
                <w:sz w:val="21"/>
                <w:szCs w:val="21"/>
              </w:rPr>
            </w:pPr>
            <w:r w:rsidRPr="00F269E4">
              <w:rPr>
                <w:rFonts w:ascii="Helvetica" w:eastAsia="Times New Roman" w:hAnsi="Helvetica" w:cs="Helvetica"/>
                <w:color w:val="333333"/>
                <w:sz w:val="21"/>
                <w:szCs w:val="21"/>
              </w:rPr>
              <w:t>509</w:t>
            </w:r>
            <w:r w:rsidR="00DA476D" w:rsidRPr="00F269E4">
              <w:rPr>
                <w:rFonts w:ascii="Helvetica" w:eastAsia="Times New Roman" w:hAnsi="Helvetica" w:cs="Helvetica"/>
                <w:color w:val="333333"/>
                <w:sz w:val="21"/>
                <w:szCs w:val="21"/>
              </w:rPr>
              <w:t xml:space="preserve"> Points</w:t>
            </w:r>
          </w:p>
        </w:tc>
      </w:tr>
    </w:tbl>
    <w:p w14:paraId="49F3A746" w14:textId="76E9A1AB" w:rsidR="003547F5" w:rsidRPr="00F269E4" w:rsidRDefault="003547F5"/>
    <w:p w14:paraId="7BEC1DEB" w14:textId="2C44C9DE" w:rsidR="00DA476D" w:rsidRPr="00F269E4" w:rsidRDefault="00DA476D"/>
    <w:p w14:paraId="33EA7CC5" w14:textId="375435B8" w:rsidR="00DA476D" w:rsidRPr="00F269E4" w:rsidRDefault="00DA476D" w:rsidP="00DA476D">
      <w:pPr>
        <w:pStyle w:val="font7"/>
        <w:rPr>
          <w:rFonts w:ascii="Arial" w:hAnsi="Arial" w:cs="Arial"/>
          <w:sz w:val="15"/>
          <w:szCs w:val="15"/>
          <w:lang w:val="en"/>
        </w:rPr>
      </w:pPr>
      <w:r w:rsidRPr="00F269E4">
        <w:rPr>
          <w:rFonts w:ascii="Libre Baskerville" w:hAnsi="Libre Baskerville" w:cs="Arial"/>
          <w:color w:val="000000"/>
          <w:sz w:val="23"/>
          <w:szCs w:val="23"/>
          <w:lang w:val="en"/>
        </w:rPr>
        <w:t>Based on the available $</w:t>
      </w:r>
      <w:r w:rsidR="006B018A" w:rsidRPr="00F269E4">
        <w:rPr>
          <w:rFonts w:ascii="Libre Baskerville" w:hAnsi="Libre Baskerville" w:cs="Arial"/>
          <w:color w:val="000000"/>
          <w:sz w:val="23"/>
          <w:szCs w:val="23"/>
          <w:lang w:val="en"/>
        </w:rPr>
        <w:t>63,724.38</w:t>
      </w:r>
      <w:r w:rsidRPr="00F269E4">
        <w:rPr>
          <w:rFonts w:ascii="Libre Baskerville" w:hAnsi="Libre Baskerville" w:cs="Arial"/>
          <w:color w:val="000000"/>
          <w:sz w:val="23"/>
          <w:szCs w:val="23"/>
          <w:lang w:val="en"/>
        </w:rPr>
        <w:t>, the committee recommends funding the five (5) grants at the following level:</w:t>
      </w:r>
    </w:p>
    <w:p w14:paraId="7473909E" w14:textId="20172482" w:rsidR="00DA476D" w:rsidRPr="00F269E4" w:rsidRDefault="00DA476D" w:rsidP="00DA476D">
      <w:pPr>
        <w:pStyle w:val="font8"/>
        <w:rPr>
          <w:rFonts w:ascii="Arial" w:hAnsi="Arial" w:cs="Arial"/>
          <w:sz w:val="22"/>
          <w:szCs w:val="22"/>
          <w:lang w:val="en"/>
        </w:rPr>
      </w:pPr>
      <w:r w:rsidRPr="00F269E4">
        <w:rPr>
          <w:rFonts w:ascii="Libre Baskerville" w:hAnsi="Libre Baskerville" w:cs="Arial"/>
          <w:color w:val="000000"/>
          <w:sz w:val="22"/>
          <w:szCs w:val="22"/>
          <w:lang w:val="en"/>
        </w:rPr>
        <w:t>The committee recommends that any funds not claimed by the other applicants are to be made available to Angelina Beautiful Clean for their Household Hazardous Waste Collection Day.</w:t>
      </w:r>
    </w:p>
    <w:p w14:paraId="107FF18A" w14:textId="77777777" w:rsidR="00DA476D" w:rsidRPr="00F269E4" w:rsidRDefault="00DA476D" w:rsidP="00DA476D">
      <w:pPr>
        <w:pStyle w:val="font8"/>
        <w:rPr>
          <w:rFonts w:ascii="Arial" w:hAnsi="Arial" w:cs="Arial"/>
          <w:sz w:val="22"/>
          <w:szCs w:val="22"/>
          <w:lang w:val="en"/>
        </w:rPr>
      </w:pPr>
      <w:r w:rsidRPr="00F269E4">
        <w:rPr>
          <w:rFonts w:ascii="Libre Baskerville" w:hAnsi="Libre Baskerville" w:cs="Arial"/>
          <w:color w:val="000000"/>
          <w:sz w:val="22"/>
          <w:szCs w:val="22"/>
          <w:lang w:val="en"/>
        </w:rPr>
        <w:t>The committee also recommends that DETCOG’s Regional Services staff be able to use any administrative funds remaining at the end of the TCEQ contract year to purchase items embellished with the “Recycle” logo that could be given to the public to promote recycling.</w:t>
      </w:r>
    </w:p>
    <w:p w14:paraId="26308422" w14:textId="04986967" w:rsidR="00DA476D" w:rsidRPr="006B018A" w:rsidRDefault="00DA476D" w:rsidP="00DA476D">
      <w:pPr>
        <w:pStyle w:val="font8"/>
        <w:rPr>
          <w:rFonts w:ascii="Arial" w:hAnsi="Arial" w:cs="Arial"/>
          <w:sz w:val="22"/>
          <w:szCs w:val="22"/>
          <w:lang w:val="en"/>
        </w:rPr>
      </w:pPr>
      <w:r w:rsidRPr="00F269E4">
        <w:rPr>
          <w:rFonts w:ascii="Libre Baskerville" w:hAnsi="Libre Baskerville" w:cs="Arial"/>
          <w:color w:val="000000"/>
          <w:sz w:val="22"/>
          <w:szCs w:val="22"/>
          <w:lang w:val="en"/>
        </w:rPr>
        <w:t xml:space="preserve"> Acting on these recommendations the DETCOG Board approved the designated grants for the recommended funding at their </w:t>
      </w:r>
      <w:r w:rsidR="006B018A" w:rsidRPr="00F269E4">
        <w:rPr>
          <w:rFonts w:ascii="Libre Baskerville" w:hAnsi="Libre Baskerville" w:cs="Arial"/>
          <w:color w:val="000000"/>
          <w:sz w:val="22"/>
          <w:szCs w:val="22"/>
          <w:lang w:val="en"/>
        </w:rPr>
        <w:t xml:space="preserve">January 23, 2020 </w:t>
      </w:r>
      <w:r w:rsidRPr="00F269E4">
        <w:rPr>
          <w:rFonts w:ascii="Libre Baskerville" w:hAnsi="Libre Baskerville" w:cs="Arial"/>
          <w:color w:val="000000"/>
          <w:sz w:val="22"/>
          <w:szCs w:val="22"/>
          <w:lang w:val="en"/>
        </w:rPr>
        <w:t>meeting.  The grants will now be submitted to the Texas Commission on Environmental Quality for their funding approval.</w:t>
      </w:r>
    </w:p>
    <w:p w14:paraId="4C810DDB" w14:textId="77777777" w:rsidR="00F269E4" w:rsidRDefault="00F269E4" w:rsidP="006B018A">
      <w:pPr>
        <w:widowControl w:val="0"/>
        <w:autoSpaceDE w:val="0"/>
        <w:autoSpaceDN w:val="0"/>
        <w:adjustRightInd w:val="0"/>
        <w:spacing w:after="0" w:line="240" w:lineRule="auto"/>
        <w:jc w:val="center"/>
        <w:rPr>
          <w:rFonts w:ascii="Calibri" w:eastAsiaTheme="minorEastAsia" w:hAnsi="Calibri" w:cs="Calibri"/>
          <w:b/>
          <w:bCs/>
          <w:color w:val="000000"/>
          <w:sz w:val="36"/>
          <w:szCs w:val="36"/>
        </w:rPr>
      </w:pPr>
    </w:p>
    <w:p w14:paraId="4BF33AE2" w14:textId="77777777" w:rsidR="00F269E4" w:rsidRDefault="00F269E4" w:rsidP="006B018A">
      <w:pPr>
        <w:widowControl w:val="0"/>
        <w:autoSpaceDE w:val="0"/>
        <w:autoSpaceDN w:val="0"/>
        <w:adjustRightInd w:val="0"/>
        <w:spacing w:after="0" w:line="240" w:lineRule="auto"/>
        <w:jc w:val="center"/>
        <w:rPr>
          <w:rFonts w:ascii="Calibri" w:eastAsiaTheme="minorEastAsia" w:hAnsi="Calibri" w:cs="Calibri"/>
          <w:b/>
          <w:bCs/>
          <w:color w:val="000000"/>
          <w:sz w:val="36"/>
          <w:szCs w:val="36"/>
        </w:rPr>
      </w:pPr>
    </w:p>
    <w:p w14:paraId="649C6E88" w14:textId="77777777" w:rsidR="00F269E4" w:rsidRDefault="00F269E4" w:rsidP="006B018A">
      <w:pPr>
        <w:widowControl w:val="0"/>
        <w:autoSpaceDE w:val="0"/>
        <w:autoSpaceDN w:val="0"/>
        <w:adjustRightInd w:val="0"/>
        <w:spacing w:after="0" w:line="240" w:lineRule="auto"/>
        <w:jc w:val="center"/>
        <w:rPr>
          <w:rFonts w:ascii="Calibri" w:eastAsiaTheme="minorEastAsia" w:hAnsi="Calibri" w:cs="Calibri"/>
          <w:b/>
          <w:bCs/>
          <w:color w:val="000000"/>
          <w:sz w:val="36"/>
          <w:szCs w:val="36"/>
        </w:rPr>
      </w:pPr>
    </w:p>
    <w:p w14:paraId="64523456" w14:textId="4D26CD3D" w:rsidR="006B018A" w:rsidRPr="006B018A" w:rsidRDefault="006B018A" w:rsidP="006B018A">
      <w:pPr>
        <w:widowControl w:val="0"/>
        <w:autoSpaceDE w:val="0"/>
        <w:autoSpaceDN w:val="0"/>
        <w:adjustRightInd w:val="0"/>
        <w:spacing w:after="0" w:line="240" w:lineRule="auto"/>
        <w:jc w:val="center"/>
        <w:rPr>
          <w:rFonts w:ascii="Calibri" w:eastAsiaTheme="minorEastAsia" w:hAnsi="Calibri" w:cs="Calibri"/>
          <w:color w:val="000000"/>
          <w:sz w:val="36"/>
          <w:szCs w:val="36"/>
        </w:rPr>
      </w:pPr>
      <w:r w:rsidRPr="006B018A">
        <w:rPr>
          <w:rFonts w:ascii="Calibri" w:eastAsiaTheme="minorEastAsia" w:hAnsi="Calibri" w:cs="Calibri"/>
          <w:b/>
          <w:bCs/>
          <w:color w:val="000000"/>
          <w:sz w:val="36"/>
          <w:szCs w:val="36"/>
        </w:rPr>
        <w:lastRenderedPageBreak/>
        <w:t>Deep East Texas Council of Governments</w:t>
      </w:r>
    </w:p>
    <w:p w14:paraId="40AEAB6C" w14:textId="77777777" w:rsidR="006B018A" w:rsidRPr="006B018A" w:rsidRDefault="006B018A" w:rsidP="006B018A">
      <w:pPr>
        <w:widowControl w:val="0"/>
        <w:autoSpaceDE w:val="0"/>
        <w:autoSpaceDN w:val="0"/>
        <w:adjustRightInd w:val="0"/>
        <w:spacing w:after="0" w:line="240" w:lineRule="auto"/>
        <w:jc w:val="center"/>
        <w:rPr>
          <w:rFonts w:ascii="Calibri" w:eastAsiaTheme="minorEastAsia" w:hAnsi="Calibri" w:cs="Calibri"/>
          <w:color w:val="000000"/>
          <w:sz w:val="36"/>
          <w:szCs w:val="36"/>
        </w:rPr>
      </w:pPr>
      <w:r w:rsidRPr="006B018A">
        <w:rPr>
          <w:rFonts w:ascii="Calibri" w:eastAsiaTheme="minorEastAsia" w:hAnsi="Calibri" w:cs="Calibri"/>
          <w:b/>
          <w:bCs/>
          <w:color w:val="000000"/>
          <w:sz w:val="36"/>
          <w:szCs w:val="36"/>
        </w:rPr>
        <w:t>Regional Solid Waste Grant Program</w:t>
      </w:r>
    </w:p>
    <w:p w14:paraId="07F32275" w14:textId="77777777" w:rsidR="006B018A" w:rsidRPr="006B018A" w:rsidRDefault="006B018A" w:rsidP="006B018A">
      <w:pPr>
        <w:widowControl w:val="0"/>
        <w:autoSpaceDE w:val="0"/>
        <w:autoSpaceDN w:val="0"/>
        <w:adjustRightInd w:val="0"/>
        <w:spacing w:after="0" w:line="240" w:lineRule="auto"/>
        <w:jc w:val="center"/>
        <w:rPr>
          <w:rFonts w:ascii="Calibri" w:eastAsiaTheme="minorEastAsia" w:hAnsi="Calibri" w:cs="Calibri"/>
          <w:b/>
          <w:bCs/>
          <w:color w:val="000000"/>
          <w:sz w:val="36"/>
          <w:szCs w:val="36"/>
        </w:rPr>
      </w:pPr>
      <w:r w:rsidRPr="006B018A">
        <w:rPr>
          <w:rFonts w:ascii="Calibri" w:eastAsiaTheme="minorEastAsia" w:hAnsi="Calibri" w:cs="Calibri"/>
          <w:b/>
          <w:bCs/>
          <w:color w:val="000000"/>
          <w:sz w:val="36"/>
          <w:szCs w:val="36"/>
        </w:rPr>
        <w:t>2020-2021 Funding Plan</w:t>
      </w:r>
    </w:p>
    <w:p w14:paraId="0EE104FF" w14:textId="77777777" w:rsidR="006B018A" w:rsidRPr="006B018A" w:rsidRDefault="006B018A" w:rsidP="006B018A">
      <w:pPr>
        <w:widowControl w:val="0"/>
        <w:autoSpaceDE w:val="0"/>
        <w:autoSpaceDN w:val="0"/>
        <w:adjustRightInd w:val="0"/>
        <w:spacing w:after="0" w:line="240" w:lineRule="auto"/>
        <w:jc w:val="center"/>
        <w:rPr>
          <w:rFonts w:ascii="Calibri" w:eastAsiaTheme="minorEastAsia" w:hAnsi="Calibri" w:cs="Calibri"/>
          <w:color w:val="000000"/>
          <w:sz w:val="16"/>
          <w:szCs w:val="16"/>
        </w:rPr>
      </w:pPr>
    </w:p>
    <w:p w14:paraId="69895CC3"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28"/>
          <w:szCs w:val="28"/>
        </w:rPr>
      </w:pPr>
      <w:r w:rsidRPr="006B018A">
        <w:rPr>
          <w:rFonts w:ascii="Calibri" w:eastAsiaTheme="minorEastAsia" w:hAnsi="Calibri" w:cs="Calibri"/>
          <w:b/>
          <w:bCs/>
          <w:color w:val="000000"/>
          <w:sz w:val="28"/>
          <w:szCs w:val="28"/>
        </w:rPr>
        <w:t xml:space="preserve">Regional Solid Waste Management Plan Priorities </w:t>
      </w:r>
    </w:p>
    <w:p w14:paraId="55B89289"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24DA689D"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23"/>
          <w:szCs w:val="23"/>
        </w:rPr>
      </w:pPr>
      <w:r w:rsidRPr="006B018A">
        <w:rPr>
          <w:rFonts w:ascii="Calibri" w:eastAsiaTheme="minorEastAsia" w:hAnsi="Calibri" w:cs="Calibri"/>
          <w:b/>
          <w:bCs/>
          <w:color w:val="000000"/>
          <w:sz w:val="23"/>
          <w:szCs w:val="23"/>
        </w:rPr>
        <w:t xml:space="preserve">Goals, Objectives &amp; Strategies: </w:t>
      </w:r>
    </w:p>
    <w:p w14:paraId="69EC1684"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2128AABC"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Goal No. 1: Ensure the proper management and disposal of municipal solid waste. </w:t>
      </w:r>
    </w:p>
    <w:p w14:paraId="302AAD8A"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Goal No. 2: Ensure the proper and safe management of solid waste, the availability of management alternatives, and implementation of statewide goals at the regional and local levels, through the development and implementation of regional and local plans. </w:t>
      </w:r>
    </w:p>
    <w:p w14:paraId="7050464B"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Goal No. 3: Reduce the amount of solid waste generated and disposed of in Texas, through source reduction and recycling, to the extent feasible through voluntary approaches. </w:t>
      </w:r>
    </w:p>
    <w:p w14:paraId="52A5B02B"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39644474"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b/>
          <w:bCs/>
          <w:color w:val="000000"/>
          <w:sz w:val="23"/>
          <w:szCs w:val="23"/>
        </w:rPr>
        <w:t>Grant Project Priorities:</w:t>
      </w:r>
      <w:r w:rsidRPr="006B018A">
        <w:rPr>
          <w:rFonts w:ascii="Calibri" w:eastAsiaTheme="minorEastAsia" w:hAnsi="Calibri" w:cs="Calibri"/>
          <w:color w:val="000000"/>
        </w:rPr>
        <w:t xml:space="preserve"> </w:t>
      </w:r>
      <w:r w:rsidRPr="006B018A">
        <w:rPr>
          <w:rFonts w:ascii="Calibri" w:eastAsiaTheme="minorEastAsia" w:hAnsi="Calibri" w:cs="Calibri"/>
          <w:i/>
          <w:iCs/>
          <w:color w:val="000000"/>
        </w:rPr>
        <w:t>(Activities under these designations subject to TCEQ requirements)</w:t>
      </w:r>
      <w:r w:rsidRPr="006B018A">
        <w:rPr>
          <w:rFonts w:ascii="Calibri" w:eastAsiaTheme="minorEastAsia" w:hAnsi="Calibri" w:cs="Calibri"/>
          <w:color w:val="000000"/>
        </w:rPr>
        <w:t xml:space="preserve"> </w:t>
      </w:r>
    </w:p>
    <w:p w14:paraId="56A2E005"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4178FD67"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1) </w:t>
      </w:r>
      <w:r w:rsidRPr="006B018A">
        <w:rPr>
          <w:rFonts w:ascii="Calibri" w:eastAsiaTheme="minorEastAsia" w:hAnsi="Calibri" w:cs="Calibri"/>
          <w:i/>
          <w:iCs/>
          <w:color w:val="000000"/>
        </w:rPr>
        <w:t>(Establishment of)</w:t>
      </w:r>
      <w:r w:rsidRPr="006B018A">
        <w:rPr>
          <w:rFonts w:ascii="Calibri" w:eastAsiaTheme="minorEastAsia" w:hAnsi="Calibri" w:cs="Calibri"/>
          <w:color w:val="000000"/>
        </w:rPr>
        <w:t xml:space="preserve"> Citizens Collection Stations and Small Transfer Stations – (Goal No. 1)  </w:t>
      </w:r>
    </w:p>
    <w:p w14:paraId="599E2D3C"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2) Source Reduction &amp; Recycling – (Goal No. 1) </w:t>
      </w:r>
    </w:p>
    <w:p w14:paraId="243A4851"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3) Education &amp; Training Projects – (Goal No. 2)  </w:t>
      </w:r>
    </w:p>
    <w:p w14:paraId="6AF50604"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4) Litter &amp; Illegal Dumping Community Clean-Up Events – (Goal No. 3)  </w:t>
      </w:r>
    </w:p>
    <w:p w14:paraId="54F4C94E"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5) Local Enforcement – (Goal No. 3) </w:t>
      </w:r>
    </w:p>
    <w:p w14:paraId="4DDB86EF"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6) Local Solid Waste Management Plans – (Goal No. 3) </w:t>
      </w:r>
    </w:p>
    <w:p w14:paraId="79D4513E"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7) Household Hazardous Waste Management – (Goal No. 2)  </w:t>
      </w:r>
    </w:p>
    <w:p w14:paraId="613DB03B"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8) Technical Studies – (Goal No. 3) </w:t>
      </w:r>
    </w:p>
    <w:p w14:paraId="169EB941"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9) Other </w:t>
      </w:r>
    </w:p>
    <w:p w14:paraId="6235A2B7"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3EB037D9"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23"/>
          <w:szCs w:val="23"/>
        </w:rPr>
      </w:pPr>
      <w:r w:rsidRPr="006B018A">
        <w:rPr>
          <w:rFonts w:ascii="Calibri" w:eastAsiaTheme="minorEastAsia" w:hAnsi="Calibri" w:cs="Calibri"/>
          <w:b/>
          <w:bCs/>
          <w:color w:val="000000"/>
          <w:sz w:val="23"/>
          <w:szCs w:val="23"/>
        </w:rPr>
        <w:t xml:space="preserve">Project Selection Process: </w:t>
      </w:r>
    </w:p>
    <w:p w14:paraId="095B52DB"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b/>
          <w:bCs/>
          <w:color w:val="000000"/>
          <w:sz w:val="16"/>
          <w:szCs w:val="16"/>
        </w:rPr>
        <w:t xml:space="preserve"> </w:t>
      </w:r>
    </w:p>
    <w:p w14:paraId="0F8658EE"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DETCOG staff will screen all applications for eligibility. All applications will be available for public view for five (5) business days prior to the review by the DETCOG Solid Waste Advisory Committee (DETCOG-SWAC). All applications determined to be eligible will be presented to the DETCOG-SWAC for review. The DETCOG-SWAC will use the ranking and scoring system recommended by TCEQ, including recommended criteria. DETCOG-SWAC will deliver the recommended ranking to the DETCOG board of directors for their approval. DETCOG-SWAC bylaws exclude members from scoring applications from the jurisdiction or entity they represent and applications where the member contributed to the development of the application. Any appeals of the scoring procedure will be heard by the DETCOG executive director and the DETCOG-SWAC chairman. Once approved by the DETCOG board of directors, the applications will be forwarded to TCEQ for final approval.  The scoring criteria will be as follows, which includes both TCEQ and DETCOG-SWAC recommendations:  </w:t>
      </w:r>
    </w:p>
    <w:p w14:paraId="300E4CDF"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sz w:val="16"/>
          <w:szCs w:val="16"/>
        </w:rPr>
      </w:pPr>
      <w:r w:rsidRPr="006B018A">
        <w:rPr>
          <w:rFonts w:ascii="Calibri" w:eastAsiaTheme="minorEastAsia" w:hAnsi="Calibri" w:cs="Calibri"/>
          <w:color w:val="000000"/>
          <w:sz w:val="16"/>
          <w:szCs w:val="16"/>
        </w:rPr>
        <w:t xml:space="preserve"> </w:t>
      </w:r>
    </w:p>
    <w:p w14:paraId="2FA7D982"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1) Project description - 20 points  </w:t>
      </w:r>
    </w:p>
    <w:p w14:paraId="5550298A"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2) Work Program - 20 points </w:t>
      </w:r>
    </w:p>
    <w:p w14:paraId="7F5680C0"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3) Project Cost Evaluation - 15 points  </w:t>
      </w:r>
    </w:p>
    <w:p w14:paraId="34963BFD"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4) Contribution to DETCOG Regional Goals- 25 points </w:t>
      </w:r>
    </w:p>
    <w:p w14:paraId="028824AB" w14:textId="77777777" w:rsidR="006B018A" w:rsidRPr="006B018A" w:rsidRDefault="006B018A" w:rsidP="006B018A">
      <w:pPr>
        <w:widowControl w:val="0"/>
        <w:autoSpaceDE w:val="0"/>
        <w:autoSpaceDN w:val="0"/>
        <w:adjustRightInd w:val="0"/>
        <w:spacing w:after="0" w:line="240" w:lineRule="auto"/>
        <w:rPr>
          <w:rFonts w:ascii="Calibri" w:eastAsiaTheme="minorEastAsia" w:hAnsi="Calibri" w:cs="Calibri"/>
          <w:color w:val="000000"/>
        </w:rPr>
      </w:pPr>
      <w:r w:rsidRPr="006B018A">
        <w:rPr>
          <w:rFonts w:ascii="Calibri" w:eastAsiaTheme="minorEastAsia" w:hAnsi="Calibri" w:cs="Calibri"/>
          <w:color w:val="000000"/>
        </w:rPr>
        <w:t xml:space="preserve">5) Regional Coordinated Effort - 20 points  </w:t>
      </w:r>
    </w:p>
    <w:p w14:paraId="6601091C" w14:textId="3BF359BC" w:rsidR="00DA476D" w:rsidRPr="00DA476D" w:rsidRDefault="006B018A" w:rsidP="006B018A">
      <w:r w:rsidRPr="006B018A">
        <w:rPr>
          <w:rFonts w:eastAsiaTheme="minorEastAsia" w:cs="Times New Roman"/>
        </w:rPr>
        <w:t>(Joint Project involving 2 or more eligible entities will receive 5 bonus points)</w:t>
      </w:r>
    </w:p>
    <w:sectPr w:rsidR="00DA476D" w:rsidRPr="00DA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6D"/>
    <w:rsid w:val="003547F5"/>
    <w:rsid w:val="006B018A"/>
    <w:rsid w:val="00BB63F4"/>
    <w:rsid w:val="00DA476D"/>
    <w:rsid w:val="00F2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B316"/>
  <w15:chartTrackingRefBased/>
  <w15:docId w15:val="{E2BC7615-ABDF-4BCA-B8E4-C32C7DA2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76D"/>
  </w:style>
  <w:style w:type="paragraph" w:customStyle="1" w:styleId="font7">
    <w:name w:val="font_7"/>
    <w:basedOn w:val="Normal"/>
    <w:rsid w:val="00DA4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4668">
      <w:bodyDiv w:val="1"/>
      <w:marLeft w:val="0"/>
      <w:marRight w:val="0"/>
      <w:marTop w:val="0"/>
      <w:marBottom w:val="0"/>
      <w:divBdr>
        <w:top w:val="none" w:sz="0" w:space="0" w:color="FFFFFF"/>
        <w:left w:val="none" w:sz="0" w:space="0" w:color="FFFFFF"/>
        <w:bottom w:val="none" w:sz="0" w:space="0" w:color="FFFFFF"/>
        <w:right w:val="none" w:sz="0" w:space="0" w:color="FFFFFF"/>
      </w:divBdr>
      <w:divsChild>
        <w:div w:id="333649195">
          <w:marLeft w:val="0"/>
          <w:marRight w:val="0"/>
          <w:marTop w:val="0"/>
          <w:marBottom w:val="0"/>
          <w:divBdr>
            <w:top w:val="none" w:sz="0" w:space="0" w:color="FFFFFF"/>
            <w:left w:val="none" w:sz="0" w:space="0" w:color="FFFFFF"/>
            <w:bottom w:val="none" w:sz="0" w:space="0" w:color="FFFFFF"/>
            <w:right w:val="none" w:sz="0" w:space="0" w:color="FFFFFF"/>
          </w:divBdr>
        </w:div>
      </w:divsChild>
    </w:div>
    <w:div w:id="665863133">
      <w:bodyDiv w:val="1"/>
      <w:marLeft w:val="0"/>
      <w:marRight w:val="0"/>
      <w:marTop w:val="0"/>
      <w:marBottom w:val="0"/>
      <w:divBdr>
        <w:top w:val="none" w:sz="0" w:space="0" w:color="auto"/>
        <w:left w:val="none" w:sz="0" w:space="0" w:color="auto"/>
        <w:bottom w:val="none" w:sz="0" w:space="0" w:color="auto"/>
        <w:right w:val="none" w:sz="0" w:space="0" w:color="auto"/>
      </w:divBdr>
      <w:divsChild>
        <w:div w:id="1075470497">
          <w:marLeft w:val="0"/>
          <w:marRight w:val="0"/>
          <w:marTop w:val="0"/>
          <w:marBottom w:val="0"/>
          <w:divBdr>
            <w:top w:val="none" w:sz="0" w:space="0" w:color="auto"/>
            <w:left w:val="none" w:sz="0" w:space="0" w:color="auto"/>
            <w:bottom w:val="none" w:sz="0" w:space="0" w:color="auto"/>
            <w:right w:val="none" w:sz="0" w:space="0" w:color="auto"/>
          </w:divBdr>
          <w:divsChild>
            <w:div w:id="332682247">
              <w:marLeft w:val="0"/>
              <w:marRight w:val="0"/>
              <w:marTop w:val="0"/>
              <w:marBottom w:val="0"/>
              <w:divBdr>
                <w:top w:val="none" w:sz="0" w:space="0" w:color="auto"/>
                <w:left w:val="none" w:sz="0" w:space="0" w:color="auto"/>
                <w:bottom w:val="none" w:sz="0" w:space="0" w:color="auto"/>
                <w:right w:val="none" w:sz="0" w:space="0" w:color="auto"/>
              </w:divBdr>
              <w:divsChild>
                <w:div w:id="1402870633">
                  <w:marLeft w:val="0"/>
                  <w:marRight w:val="0"/>
                  <w:marTop w:val="0"/>
                  <w:marBottom w:val="0"/>
                  <w:divBdr>
                    <w:top w:val="none" w:sz="0" w:space="0" w:color="auto"/>
                    <w:left w:val="none" w:sz="0" w:space="0" w:color="auto"/>
                    <w:bottom w:val="none" w:sz="0" w:space="0" w:color="auto"/>
                    <w:right w:val="none" w:sz="0" w:space="0" w:color="auto"/>
                  </w:divBdr>
                  <w:divsChild>
                    <w:div w:id="1224677553">
                      <w:marLeft w:val="0"/>
                      <w:marRight w:val="0"/>
                      <w:marTop w:val="0"/>
                      <w:marBottom w:val="0"/>
                      <w:divBdr>
                        <w:top w:val="none" w:sz="0" w:space="0" w:color="auto"/>
                        <w:left w:val="none" w:sz="0" w:space="0" w:color="auto"/>
                        <w:bottom w:val="none" w:sz="0" w:space="0" w:color="auto"/>
                        <w:right w:val="none" w:sz="0" w:space="0" w:color="auto"/>
                      </w:divBdr>
                      <w:divsChild>
                        <w:div w:id="1079058786">
                          <w:marLeft w:val="0"/>
                          <w:marRight w:val="0"/>
                          <w:marTop w:val="0"/>
                          <w:marBottom w:val="0"/>
                          <w:divBdr>
                            <w:top w:val="none" w:sz="0" w:space="0" w:color="auto"/>
                            <w:left w:val="none" w:sz="0" w:space="0" w:color="auto"/>
                            <w:bottom w:val="none" w:sz="0" w:space="0" w:color="auto"/>
                            <w:right w:val="none" w:sz="0" w:space="0" w:color="auto"/>
                          </w:divBdr>
                          <w:divsChild>
                            <w:div w:id="281885925">
                              <w:marLeft w:val="0"/>
                              <w:marRight w:val="0"/>
                              <w:marTop w:val="0"/>
                              <w:marBottom w:val="0"/>
                              <w:divBdr>
                                <w:top w:val="none" w:sz="0" w:space="0" w:color="auto"/>
                                <w:left w:val="none" w:sz="0" w:space="0" w:color="auto"/>
                                <w:bottom w:val="none" w:sz="0" w:space="0" w:color="auto"/>
                                <w:right w:val="none" w:sz="0" w:space="0" w:color="auto"/>
                              </w:divBdr>
                              <w:divsChild>
                                <w:div w:id="511653051">
                                  <w:marLeft w:val="0"/>
                                  <w:marRight w:val="0"/>
                                  <w:marTop w:val="0"/>
                                  <w:marBottom w:val="0"/>
                                  <w:divBdr>
                                    <w:top w:val="none" w:sz="0" w:space="0" w:color="auto"/>
                                    <w:left w:val="none" w:sz="0" w:space="0" w:color="auto"/>
                                    <w:bottom w:val="none" w:sz="0" w:space="0" w:color="auto"/>
                                    <w:right w:val="none" w:sz="0" w:space="0" w:color="auto"/>
                                  </w:divBdr>
                                  <w:divsChild>
                                    <w:div w:id="443623971">
                                      <w:marLeft w:val="0"/>
                                      <w:marRight w:val="0"/>
                                      <w:marTop w:val="0"/>
                                      <w:marBottom w:val="0"/>
                                      <w:divBdr>
                                        <w:top w:val="none" w:sz="0" w:space="0" w:color="auto"/>
                                        <w:left w:val="none" w:sz="0" w:space="0" w:color="auto"/>
                                        <w:bottom w:val="none" w:sz="0" w:space="0" w:color="auto"/>
                                        <w:right w:val="none" w:sz="0" w:space="0" w:color="auto"/>
                                      </w:divBdr>
                                      <w:divsChild>
                                        <w:div w:id="1416585480">
                                          <w:marLeft w:val="0"/>
                                          <w:marRight w:val="0"/>
                                          <w:marTop w:val="0"/>
                                          <w:marBottom w:val="0"/>
                                          <w:divBdr>
                                            <w:top w:val="none" w:sz="0" w:space="0" w:color="auto"/>
                                            <w:left w:val="none" w:sz="0" w:space="0" w:color="auto"/>
                                            <w:bottom w:val="none" w:sz="0" w:space="0" w:color="auto"/>
                                            <w:right w:val="none" w:sz="0" w:space="0" w:color="auto"/>
                                          </w:divBdr>
                                          <w:divsChild>
                                            <w:div w:id="194343816">
                                              <w:marLeft w:val="0"/>
                                              <w:marRight w:val="0"/>
                                              <w:marTop w:val="0"/>
                                              <w:marBottom w:val="0"/>
                                              <w:divBdr>
                                                <w:top w:val="none" w:sz="0" w:space="0" w:color="auto"/>
                                                <w:left w:val="none" w:sz="0" w:space="0" w:color="auto"/>
                                                <w:bottom w:val="none" w:sz="0" w:space="0" w:color="auto"/>
                                                <w:right w:val="none" w:sz="0" w:space="0" w:color="auto"/>
                                              </w:divBdr>
                                              <w:divsChild>
                                                <w:div w:id="606929550">
                                                  <w:marLeft w:val="0"/>
                                                  <w:marRight w:val="0"/>
                                                  <w:marTop w:val="0"/>
                                                  <w:marBottom w:val="0"/>
                                                  <w:divBdr>
                                                    <w:top w:val="none" w:sz="0" w:space="0" w:color="auto"/>
                                                    <w:left w:val="none" w:sz="0" w:space="0" w:color="auto"/>
                                                    <w:bottom w:val="none" w:sz="0" w:space="0" w:color="auto"/>
                                                    <w:right w:val="none" w:sz="0" w:space="0" w:color="auto"/>
                                                  </w:divBdr>
                                                  <w:divsChild>
                                                    <w:div w:id="2647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159070">
      <w:bodyDiv w:val="1"/>
      <w:marLeft w:val="0"/>
      <w:marRight w:val="0"/>
      <w:marTop w:val="0"/>
      <w:marBottom w:val="0"/>
      <w:divBdr>
        <w:top w:val="none" w:sz="0" w:space="0" w:color="auto"/>
        <w:left w:val="none" w:sz="0" w:space="0" w:color="auto"/>
        <w:bottom w:val="none" w:sz="0" w:space="0" w:color="auto"/>
        <w:right w:val="none" w:sz="0" w:space="0" w:color="auto"/>
      </w:divBdr>
      <w:divsChild>
        <w:div w:id="2051026518">
          <w:marLeft w:val="0"/>
          <w:marRight w:val="0"/>
          <w:marTop w:val="0"/>
          <w:marBottom w:val="0"/>
          <w:divBdr>
            <w:top w:val="none" w:sz="0" w:space="0" w:color="auto"/>
            <w:left w:val="none" w:sz="0" w:space="0" w:color="auto"/>
            <w:bottom w:val="none" w:sz="0" w:space="0" w:color="auto"/>
            <w:right w:val="none" w:sz="0" w:space="0" w:color="auto"/>
          </w:divBdr>
          <w:divsChild>
            <w:div w:id="1272737005">
              <w:marLeft w:val="0"/>
              <w:marRight w:val="0"/>
              <w:marTop w:val="0"/>
              <w:marBottom w:val="0"/>
              <w:divBdr>
                <w:top w:val="none" w:sz="0" w:space="0" w:color="auto"/>
                <w:left w:val="none" w:sz="0" w:space="0" w:color="auto"/>
                <w:bottom w:val="none" w:sz="0" w:space="0" w:color="auto"/>
                <w:right w:val="none" w:sz="0" w:space="0" w:color="auto"/>
              </w:divBdr>
              <w:divsChild>
                <w:div w:id="1017074189">
                  <w:marLeft w:val="0"/>
                  <w:marRight w:val="0"/>
                  <w:marTop w:val="0"/>
                  <w:marBottom w:val="0"/>
                  <w:divBdr>
                    <w:top w:val="none" w:sz="0" w:space="0" w:color="auto"/>
                    <w:left w:val="none" w:sz="0" w:space="0" w:color="auto"/>
                    <w:bottom w:val="none" w:sz="0" w:space="0" w:color="auto"/>
                    <w:right w:val="none" w:sz="0" w:space="0" w:color="auto"/>
                  </w:divBdr>
                  <w:divsChild>
                    <w:div w:id="1543057219">
                      <w:marLeft w:val="0"/>
                      <w:marRight w:val="0"/>
                      <w:marTop w:val="0"/>
                      <w:marBottom w:val="0"/>
                      <w:divBdr>
                        <w:top w:val="none" w:sz="0" w:space="0" w:color="auto"/>
                        <w:left w:val="none" w:sz="0" w:space="0" w:color="auto"/>
                        <w:bottom w:val="none" w:sz="0" w:space="0" w:color="auto"/>
                        <w:right w:val="none" w:sz="0" w:space="0" w:color="auto"/>
                      </w:divBdr>
                      <w:divsChild>
                        <w:div w:id="1661497291">
                          <w:marLeft w:val="0"/>
                          <w:marRight w:val="0"/>
                          <w:marTop w:val="0"/>
                          <w:marBottom w:val="0"/>
                          <w:divBdr>
                            <w:top w:val="none" w:sz="0" w:space="0" w:color="auto"/>
                            <w:left w:val="none" w:sz="0" w:space="0" w:color="auto"/>
                            <w:bottom w:val="none" w:sz="0" w:space="0" w:color="auto"/>
                            <w:right w:val="none" w:sz="0" w:space="0" w:color="auto"/>
                          </w:divBdr>
                          <w:divsChild>
                            <w:div w:id="1804425672">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2074961917">
                                      <w:marLeft w:val="0"/>
                                      <w:marRight w:val="0"/>
                                      <w:marTop w:val="0"/>
                                      <w:marBottom w:val="0"/>
                                      <w:divBdr>
                                        <w:top w:val="none" w:sz="0" w:space="0" w:color="auto"/>
                                        <w:left w:val="none" w:sz="0" w:space="0" w:color="auto"/>
                                        <w:bottom w:val="none" w:sz="0" w:space="0" w:color="auto"/>
                                        <w:right w:val="none" w:sz="0" w:space="0" w:color="auto"/>
                                      </w:divBdr>
                                      <w:divsChild>
                                        <w:div w:id="1541866159">
                                          <w:marLeft w:val="0"/>
                                          <w:marRight w:val="0"/>
                                          <w:marTop w:val="0"/>
                                          <w:marBottom w:val="0"/>
                                          <w:divBdr>
                                            <w:top w:val="none" w:sz="0" w:space="0" w:color="auto"/>
                                            <w:left w:val="none" w:sz="0" w:space="0" w:color="auto"/>
                                            <w:bottom w:val="none" w:sz="0" w:space="0" w:color="auto"/>
                                            <w:right w:val="none" w:sz="0" w:space="0" w:color="auto"/>
                                          </w:divBdr>
                                          <w:divsChild>
                                            <w:div w:id="104465631">
                                              <w:marLeft w:val="0"/>
                                              <w:marRight w:val="0"/>
                                              <w:marTop w:val="0"/>
                                              <w:marBottom w:val="0"/>
                                              <w:divBdr>
                                                <w:top w:val="none" w:sz="0" w:space="0" w:color="auto"/>
                                                <w:left w:val="none" w:sz="0" w:space="0" w:color="auto"/>
                                                <w:bottom w:val="none" w:sz="0" w:space="0" w:color="auto"/>
                                                <w:right w:val="none" w:sz="0" w:space="0" w:color="auto"/>
                                              </w:divBdr>
                                              <w:divsChild>
                                                <w:div w:id="702554875">
                                                  <w:marLeft w:val="0"/>
                                                  <w:marRight w:val="0"/>
                                                  <w:marTop w:val="0"/>
                                                  <w:marBottom w:val="0"/>
                                                  <w:divBdr>
                                                    <w:top w:val="none" w:sz="0" w:space="0" w:color="auto"/>
                                                    <w:left w:val="none" w:sz="0" w:space="0" w:color="auto"/>
                                                    <w:bottom w:val="none" w:sz="0" w:space="0" w:color="auto"/>
                                                    <w:right w:val="none" w:sz="0" w:space="0" w:color="auto"/>
                                                  </w:divBdr>
                                                  <w:divsChild>
                                                    <w:div w:id="1293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14568">
      <w:bodyDiv w:val="1"/>
      <w:marLeft w:val="0"/>
      <w:marRight w:val="0"/>
      <w:marTop w:val="0"/>
      <w:marBottom w:val="0"/>
      <w:divBdr>
        <w:top w:val="none" w:sz="0" w:space="0" w:color="auto"/>
        <w:left w:val="none" w:sz="0" w:space="0" w:color="auto"/>
        <w:bottom w:val="none" w:sz="0" w:space="0" w:color="auto"/>
        <w:right w:val="none" w:sz="0" w:space="0" w:color="auto"/>
      </w:divBdr>
      <w:divsChild>
        <w:div w:id="99225900">
          <w:marLeft w:val="0"/>
          <w:marRight w:val="0"/>
          <w:marTop w:val="0"/>
          <w:marBottom w:val="0"/>
          <w:divBdr>
            <w:top w:val="none" w:sz="0" w:space="0" w:color="auto"/>
            <w:left w:val="none" w:sz="0" w:space="0" w:color="auto"/>
            <w:bottom w:val="none" w:sz="0" w:space="0" w:color="auto"/>
            <w:right w:val="none" w:sz="0" w:space="0" w:color="auto"/>
          </w:divBdr>
          <w:divsChild>
            <w:div w:id="1563756211">
              <w:marLeft w:val="0"/>
              <w:marRight w:val="0"/>
              <w:marTop w:val="0"/>
              <w:marBottom w:val="0"/>
              <w:divBdr>
                <w:top w:val="none" w:sz="0" w:space="0" w:color="auto"/>
                <w:left w:val="none" w:sz="0" w:space="0" w:color="auto"/>
                <w:bottom w:val="none" w:sz="0" w:space="0" w:color="auto"/>
                <w:right w:val="none" w:sz="0" w:space="0" w:color="auto"/>
              </w:divBdr>
              <w:divsChild>
                <w:div w:id="565922253">
                  <w:marLeft w:val="0"/>
                  <w:marRight w:val="0"/>
                  <w:marTop w:val="0"/>
                  <w:marBottom w:val="0"/>
                  <w:divBdr>
                    <w:top w:val="none" w:sz="0" w:space="0" w:color="auto"/>
                    <w:left w:val="none" w:sz="0" w:space="0" w:color="auto"/>
                    <w:bottom w:val="none" w:sz="0" w:space="0" w:color="auto"/>
                    <w:right w:val="none" w:sz="0" w:space="0" w:color="auto"/>
                  </w:divBdr>
                  <w:divsChild>
                    <w:div w:id="797528591">
                      <w:marLeft w:val="0"/>
                      <w:marRight w:val="0"/>
                      <w:marTop w:val="0"/>
                      <w:marBottom w:val="0"/>
                      <w:divBdr>
                        <w:top w:val="none" w:sz="0" w:space="0" w:color="auto"/>
                        <w:left w:val="none" w:sz="0" w:space="0" w:color="auto"/>
                        <w:bottom w:val="none" w:sz="0" w:space="0" w:color="auto"/>
                        <w:right w:val="none" w:sz="0" w:space="0" w:color="auto"/>
                      </w:divBdr>
                      <w:divsChild>
                        <w:div w:id="1946115670">
                          <w:marLeft w:val="0"/>
                          <w:marRight w:val="0"/>
                          <w:marTop w:val="0"/>
                          <w:marBottom w:val="0"/>
                          <w:divBdr>
                            <w:top w:val="none" w:sz="0" w:space="0" w:color="auto"/>
                            <w:left w:val="none" w:sz="0" w:space="0" w:color="auto"/>
                            <w:bottom w:val="none" w:sz="0" w:space="0" w:color="auto"/>
                            <w:right w:val="none" w:sz="0" w:space="0" w:color="auto"/>
                          </w:divBdr>
                          <w:divsChild>
                            <w:div w:id="2068800782">
                              <w:marLeft w:val="0"/>
                              <w:marRight w:val="0"/>
                              <w:marTop w:val="0"/>
                              <w:marBottom w:val="0"/>
                              <w:divBdr>
                                <w:top w:val="none" w:sz="0" w:space="0" w:color="auto"/>
                                <w:left w:val="none" w:sz="0" w:space="0" w:color="auto"/>
                                <w:bottom w:val="none" w:sz="0" w:space="0" w:color="auto"/>
                                <w:right w:val="none" w:sz="0" w:space="0" w:color="auto"/>
                              </w:divBdr>
                              <w:divsChild>
                                <w:div w:id="305549948">
                                  <w:marLeft w:val="0"/>
                                  <w:marRight w:val="0"/>
                                  <w:marTop w:val="0"/>
                                  <w:marBottom w:val="0"/>
                                  <w:divBdr>
                                    <w:top w:val="none" w:sz="0" w:space="0" w:color="auto"/>
                                    <w:left w:val="none" w:sz="0" w:space="0" w:color="auto"/>
                                    <w:bottom w:val="none" w:sz="0" w:space="0" w:color="auto"/>
                                    <w:right w:val="none" w:sz="0" w:space="0" w:color="auto"/>
                                  </w:divBdr>
                                  <w:divsChild>
                                    <w:div w:id="2560956">
                                      <w:marLeft w:val="0"/>
                                      <w:marRight w:val="0"/>
                                      <w:marTop w:val="0"/>
                                      <w:marBottom w:val="0"/>
                                      <w:divBdr>
                                        <w:top w:val="none" w:sz="0" w:space="0" w:color="auto"/>
                                        <w:left w:val="none" w:sz="0" w:space="0" w:color="auto"/>
                                        <w:bottom w:val="none" w:sz="0" w:space="0" w:color="auto"/>
                                        <w:right w:val="none" w:sz="0" w:space="0" w:color="auto"/>
                                      </w:divBdr>
                                      <w:divsChild>
                                        <w:div w:id="692808248">
                                          <w:marLeft w:val="0"/>
                                          <w:marRight w:val="0"/>
                                          <w:marTop w:val="0"/>
                                          <w:marBottom w:val="0"/>
                                          <w:divBdr>
                                            <w:top w:val="none" w:sz="0" w:space="0" w:color="auto"/>
                                            <w:left w:val="none" w:sz="0" w:space="0" w:color="auto"/>
                                            <w:bottom w:val="none" w:sz="0" w:space="0" w:color="auto"/>
                                            <w:right w:val="none" w:sz="0" w:space="0" w:color="auto"/>
                                          </w:divBdr>
                                          <w:divsChild>
                                            <w:div w:id="703674313">
                                              <w:marLeft w:val="0"/>
                                              <w:marRight w:val="0"/>
                                              <w:marTop w:val="0"/>
                                              <w:marBottom w:val="0"/>
                                              <w:divBdr>
                                                <w:top w:val="none" w:sz="0" w:space="0" w:color="auto"/>
                                                <w:left w:val="none" w:sz="0" w:space="0" w:color="auto"/>
                                                <w:bottom w:val="none" w:sz="0" w:space="0" w:color="auto"/>
                                                <w:right w:val="none" w:sz="0" w:space="0" w:color="auto"/>
                                              </w:divBdr>
                                              <w:divsChild>
                                                <w:div w:id="1815372201">
                                                  <w:marLeft w:val="0"/>
                                                  <w:marRight w:val="0"/>
                                                  <w:marTop w:val="0"/>
                                                  <w:marBottom w:val="0"/>
                                                  <w:divBdr>
                                                    <w:top w:val="none" w:sz="0" w:space="0" w:color="auto"/>
                                                    <w:left w:val="none" w:sz="0" w:space="0" w:color="auto"/>
                                                    <w:bottom w:val="none" w:sz="0" w:space="0" w:color="auto"/>
                                                    <w:right w:val="none" w:sz="0" w:space="0" w:color="auto"/>
                                                  </w:divBdr>
                                                  <w:divsChild>
                                                    <w:div w:id="448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894819">
      <w:bodyDiv w:val="1"/>
      <w:marLeft w:val="0"/>
      <w:marRight w:val="0"/>
      <w:marTop w:val="0"/>
      <w:marBottom w:val="0"/>
      <w:divBdr>
        <w:top w:val="none" w:sz="0" w:space="0" w:color="auto"/>
        <w:left w:val="none" w:sz="0" w:space="0" w:color="auto"/>
        <w:bottom w:val="none" w:sz="0" w:space="0" w:color="auto"/>
        <w:right w:val="none" w:sz="0" w:space="0" w:color="auto"/>
      </w:divBdr>
      <w:divsChild>
        <w:div w:id="1055859950">
          <w:marLeft w:val="0"/>
          <w:marRight w:val="0"/>
          <w:marTop w:val="0"/>
          <w:marBottom w:val="0"/>
          <w:divBdr>
            <w:top w:val="none" w:sz="0" w:space="0" w:color="auto"/>
            <w:left w:val="none" w:sz="0" w:space="0" w:color="auto"/>
            <w:bottom w:val="none" w:sz="0" w:space="0" w:color="auto"/>
            <w:right w:val="none" w:sz="0" w:space="0" w:color="auto"/>
          </w:divBdr>
          <w:divsChild>
            <w:div w:id="603153497">
              <w:marLeft w:val="0"/>
              <w:marRight w:val="0"/>
              <w:marTop w:val="0"/>
              <w:marBottom w:val="0"/>
              <w:divBdr>
                <w:top w:val="none" w:sz="0" w:space="0" w:color="auto"/>
                <w:left w:val="none" w:sz="0" w:space="0" w:color="auto"/>
                <w:bottom w:val="none" w:sz="0" w:space="0" w:color="auto"/>
                <w:right w:val="none" w:sz="0" w:space="0" w:color="auto"/>
              </w:divBdr>
              <w:divsChild>
                <w:div w:id="101459124">
                  <w:marLeft w:val="0"/>
                  <w:marRight w:val="0"/>
                  <w:marTop w:val="0"/>
                  <w:marBottom w:val="0"/>
                  <w:divBdr>
                    <w:top w:val="none" w:sz="0" w:space="0" w:color="auto"/>
                    <w:left w:val="none" w:sz="0" w:space="0" w:color="auto"/>
                    <w:bottom w:val="none" w:sz="0" w:space="0" w:color="auto"/>
                    <w:right w:val="none" w:sz="0" w:space="0" w:color="auto"/>
                  </w:divBdr>
                  <w:divsChild>
                    <w:div w:id="135034822">
                      <w:marLeft w:val="0"/>
                      <w:marRight w:val="0"/>
                      <w:marTop w:val="0"/>
                      <w:marBottom w:val="0"/>
                      <w:divBdr>
                        <w:top w:val="none" w:sz="0" w:space="0" w:color="auto"/>
                        <w:left w:val="none" w:sz="0" w:space="0" w:color="auto"/>
                        <w:bottom w:val="none" w:sz="0" w:space="0" w:color="auto"/>
                        <w:right w:val="none" w:sz="0" w:space="0" w:color="auto"/>
                      </w:divBdr>
                      <w:divsChild>
                        <w:div w:id="1041629197">
                          <w:marLeft w:val="0"/>
                          <w:marRight w:val="0"/>
                          <w:marTop w:val="0"/>
                          <w:marBottom w:val="0"/>
                          <w:divBdr>
                            <w:top w:val="none" w:sz="0" w:space="0" w:color="auto"/>
                            <w:left w:val="none" w:sz="0" w:space="0" w:color="auto"/>
                            <w:bottom w:val="none" w:sz="0" w:space="0" w:color="auto"/>
                            <w:right w:val="none" w:sz="0" w:space="0" w:color="auto"/>
                          </w:divBdr>
                          <w:divsChild>
                            <w:div w:id="1280264352">
                              <w:marLeft w:val="0"/>
                              <w:marRight w:val="0"/>
                              <w:marTop w:val="0"/>
                              <w:marBottom w:val="0"/>
                              <w:divBdr>
                                <w:top w:val="none" w:sz="0" w:space="0" w:color="auto"/>
                                <w:left w:val="none" w:sz="0" w:space="0" w:color="auto"/>
                                <w:bottom w:val="none" w:sz="0" w:space="0" w:color="auto"/>
                                <w:right w:val="none" w:sz="0" w:space="0" w:color="auto"/>
                              </w:divBdr>
                              <w:divsChild>
                                <w:div w:id="1497109220">
                                  <w:marLeft w:val="0"/>
                                  <w:marRight w:val="0"/>
                                  <w:marTop w:val="0"/>
                                  <w:marBottom w:val="0"/>
                                  <w:divBdr>
                                    <w:top w:val="none" w:sz="0" w:space="0" w:color="auto"/>
                                    <w:left w:val="none" w:sz="0" w:space="0" w:color="auto"/>
                                    <w:bottom w:val="none" w:sz="0" w:space="0" w:color="auto"/>
                                    <w:right w:val="none" w:sz="0" w:space="0" w:color="auto"/>
                                  </w:divBdr>
                                  <w:divsChild>
                                    <w:div w:id="2020959662">
                                      <w:marLeft w:val="0"/>
                                      <w:marRight w:val="0"/>
                                      <w:marTop w:val="0"/>
                                      <w:marBottom w:val="0"/>
                                      <w:divBdr>
                                        <w:top w:val="none" w:sz="0" w:space="0" w:color="auto"/>
                                        <w:left w:val="none" w:sz="0" w:space="0" w:color="auto"/>
                                        <w:bottom w:val="none" w:sz="0" w:space="0" w:color="auto"/>
                                        <w:right w:val="none" w:sz="0" w:space="0" w:color="auto"/>
                                      </w:divBdr>
                                      <w:divsChild>
                                        <w:div w:id="1509949897">
                                          <w:marLeft w:val="0"/>
                                          <w:marRight w:val="0"/>
                                          <w:marTop w:val="0"/>
                                          <w:marBottom w:val="0"/>
                                          <w:divBdr>
                                            <w:top w:val="none" w:sz="0" w:space="0" w:color="auto"/>
                                            <w:left w:val="none" w:sz="0" w:space="0" w:color="auto"/>
                                            <w:bottom w:val="none" w:sz="0" w:space="0" w:color="auto"/>
                                            <w:right w:val="none" w:sz="0" w:space="0" w:color="auto"/>
                                          </w:divBdr>
                                          <w:divsChild>
                                            <w:div w:id="1725563273">
                                              <w:marLeft w:val="0"/>
                                              <w:marRight w:val="0"/>
                                              <w:marTop w:val="0"/>
                                              <w:marBottom w:val="0"/>
                                              <w:divBdr>
                                                <w:top w:val="none" w:sz="0" w:space="0" w:color="auto"/>
                                                <w:left w:val="none" w:sz="0" w:space="0" w:color="auto"/>
                                                <w:bottom w:val="none" w:sz="0" w:space="0" w:color="auto"/>
                                                <w:right w:val="none" w:sz="0" w:space="0" w:color="auto"/>
                                              </w:divBdr>
                                              <w:divsChild>
                                                <w:div w:id="1741247620">
                                                  <w:marLeft w:val="0"/>
                                                  <w:marRight w:val="0"/>
                                                  <w:marTop w:val="0"/>
                                                  <w:marBottom w:val="0"/>
                                                  <w:divBdr>
                                                    <w:top w:val="none" w:sz="0" w:space="0" w:color="auto"/>
                                                    <w:left w:val="none" w:sz="0" w:space="0" w:color="auto"/>
                                                    <w:bottom w:val="none" w:sz="0" w:space="0" w:color="auto"/>
                                                    <w:right w:val="none" w:sz="0" w:space="0" w:color="auto"/>
                                                  </w:divBdr>
                                                  <w:divsChild>
                                                    <w:div w:id="8994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Detcog Three</dc:creator>
  <cp:keywords/>
  <dc:description/>
  <cp:lastModifiedBy>detcogten</cp:lastModifiedBy>
  <cp:revision>2</cp:revision>
  <dcterms:created xsi:type="dcterms:W3CDTF">2020-11-24T22:03:00Z</dcterms:created>
  <dcterms:modified xsi:type="dcterms:W3CDTF">2020-11-24T22:03:00Z</dcterms:modified>
</cp:coreProperties>
</file>